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65218" w:rsidRDefault="00665218" w:rsidP="00665218">
      <w:pPr>
        <w:pStyle w:val="NormalWeb"/>
        <w:spacing w:before="0" w:beforeAutospacing="0" w:after="0" w:afterAutospacing="0" w:line="480" w:lineRule="auto"/>
        <w:ind w:firstLine="720"/>
        <w:jc w:val="both"/>
        <w:rPr>
          <w:color w:val="1C1E29"/>
        </w:rPr>
      </w:pPr>
    </w:p>
    <w:p w:rsidR="00665218" w:rsidRDefault="00665218" w:rsidP="00665218">
      <w:pPr>
        <w:pStyle w:val="NormalWeb"/>
        <w:spacing w:before="0" w:beforeAutospacing="0" w:after="0" w:afterAutospacing="0" w:line="480" w:lineRule="auto"/>
        <w:ind w:firstLine="720"/>
        <w:jc w:val="both"/>
        <w:rPr>
          <w:color w:val="1C1E29"/>
        </w:rPr>
      </w:pPr>
    </w:p>
    <w:p w:rsidR="00665218" w:rsidRDefault="00665218" w:rsidP="00665218">
      <w:pPr>
        <w:pStyle w:val="NormalWeb"/>
        <w:spacing w:before="0" w:beforeAutospacing="0" w:after="0" w:afterAutospacing="0" w:line="480" w:lineRule="auto"/>
        <w:ind w:firstLine="720"/>
        <w:jc w:val="both"/>
        <w:rPr>
          <w:color w:val="1C1E29"/>
        </w:rPr>
      </w:pPr>
    </w:p>
    <w:p w:rsidR="00665218" w:rsidRDefault="00665218" w:rsidP="00665218">
      <w:pPr>
        <w:pStyle w:val="NormalWeb"/>
        <w:spacing w:before="0" w:beforeAutospacing="0" w:after="0" w:afterAutospacing="0" w:line="480" w:lineRule="auto"/>
        <w:ind w:firstLine="720"/>
        <w:jc w:val="both"/>
        <w:rPr>
          <w:color w:val="1C1E29"/>
        </w:rPr>
      </w:pPr>
    </w:p>
    <w:p w:rsidR="00665218" w:rsidRDefault="00665218" w:rsidP="00665218">
      <w:pPr>
        <w:pStyle w:val="NormalWeb"/>
        <w:spacing w:before="0" w:beforeAutospacing="0" w:after="0" w:afterAutospacing="0" w:line="480" w:lineRule="auto"/>
        <w:ind w:firstLine="720"/>
        <w:jc w:val="both"/>
        <w:rPr>
          <w:color w:val="1C1E29"/>
        </w:rPr>
      </w:pPr>
    </w:p>
    <w:p w:rsidR="00665218" w:rsidRDefault="00665218" w:rsidP="00665218">
      <w:pPr>
        <w:pStyle w:val="NormalWeb"/>
        <w:spacing w:before="0" w:beforeAutospacing="0" w:after="0" w:afterAutospacing="0" w:line="480" w:lineRule="auto"/>
        <w:ind w:firstLine="720"/>
        <w:jc w:val="both"/>
        <w:rPr>
          <w:color w:val="1C1E29"/>
        </w:rPr>
      </w:pPr>
    </w:p>
    <w:p w:rsidR="00665218" w:rsidRDefault="00665218" w:rsidP="00665218">
      <w:pPr>
        <w:pStyle w:val="NormalWeb"/>
        <w:spacing w:before="0" w:beforeAutospacing="0" w:after="0" w:afterAutospacing="0" w:line="480" w:lineRule="auto"/>
        <w:ind w:firstLine="720"/>
        <w:jc w:val="both"/>
        <w:rPr>
          <w:color w:val="1C1E29"/>
        </w:rPr>
      </w:pPr>
    </w:p>
    <w:p w:rsidR="00665218" w:rsidRDefault="00665218" w:rsidP="00665218">
      <w:pPr>
        <w:pStyle w:val="NormalWeb"/>
        <w:spacing w:before="0" w:beforeAutospacing="0" w:after="0" w:afterAutospacing="0" w:line="480" w:lineRule="auto"/>
        <w:ind w:firstLine="720"/>
        <w:jc w:val="both"/>
        <w:rPr>
          <w:color w:val="1C1E29"/>
        </w:rPr>
      </w:pPr>
    </w:p>
    <w:p w:rsidR="00665218" w:rsidRDefault="00665218" w:rsidP="00665218">
      <w:pPr>
        <w:pStyle w:val="NormalWeb"/>
        <w:spacing w:before="0" w:beforeAutospacing="0" w:after="0" w:afterAutospacing="0" w:line="480" w:lineRule="auto"/>
        <w:ind w:firstLine="720"/>
        <w:jc w:val="center"/>
        <w:rPr>
          <w:color w:val="1C1E29"/>
        </w:rPr>
      </w:pPr>
    </w:p>
    <w:p w:rsidR="00665218" w:rsidRDefault="00665218" w:rsidP="00665218">
      <w:pPr>
        <w:pStyle w:val="NormalWeb"/>
        <w:spacing w:before="0" w:beforeAutospacing="0" w:after="0" w:afterAutospacing="0" w:line="480" w:lineRule="auto"/>
        <w:ind w:firstLine="720"/>
        <w:jc w:val="center"/>
        <w:rPr>
          <w:color w:val="1C1E29"/>
        </w:rPr>
      </w:pPr>
      <w:r>
        <w:rPr>
          <w:color w:val="1C1E29"/>
        </w:rPr>
        <w:t>E</w:t>
      </w:r>
      <w:r w:rsidR="0091751C">
        <w:rPr>
          <w:color w:val="1C1E29"/>
        </w:rPr>
        <w:t>conomic burdens of rising healthcare cost</w:t>
      </w:r>
    </w:p>
    <w:p w:rsidR="00665218" w:rsidRDefault="00665218" w:rsidP="00665218">
      <w:pPr>
        <w:pStyle w:val="NormalWeb"/>
        <w:spacing w:before="0" w:beforeAutospacing="0" w:after="0" w:afterAutospacing="0" w:line="480" w:lineRule="auto"/>
        <w:ind w:firstLine="720"/>
        <w:jc w:val="center"/>
        <w:rPr>
          <w:color w:val="1C1E29"/>
        </w:rPr>
      </w:pPr>
      <w:r>
        <w:rPr>
          <w:color w:val="1C1E29"/>
        </w:rPr>
        <w:t>Name:</w:t>
      </w:r>
    </w:p>
    <w:p w:rsidR="00665218" w:rsidRDefault="00665218" w:rsidP="00665218">
      <w:pPr>
        <w:pStyle w:val="NormalWeb"/>
        <w:spacing w:before="0" w:beforeAutospacing="0" w:after="0" w:afterAutospacing="0" w:line="480" w:lineRule="auto"/>
        <w:ind w:firstLine="720"/>
        <w:jc w:val="center"/>
        <w:rPr>
          <w:color w:val="1C1E29"/>
        </w:rPr>
      </w:pPr>
      <w:r>
        <w:rPr>
          <w:color w:val="1C1E29"/>
        </w:rPr>
        <w:t>Instructor:</w:t>
      </w:r>
    </w:p>
    <w:p w:rsidR="00665218" w:rsidRDefault="00665218" w:rsidP="00665218">
      <w:pPr>
        <w:pStyle w:val="NormalWeb"/>
        <w:spacing w:before="0" w:beforeAutospacing="0" w:after="0" w:afterAutospacing="0" w:line="480" w:lineRule="auto"/>
        <w:ind w:firstLine="720"/>
        <w:jc w:val="center"/>
        <w:rPr>
          <w:color w:val="1C1E29"/>
        </w:rPr>
      </w:pPr>
      <w:r>
        <w:rPr>
          <w:color w:val="1C1E29"/>
        </w:rPr>
        <w:t>Course:</w:t>
      </w:r>
    </w:p>
    <w:p w:rsidR="00665218" w:rsidRDefault="00665218" w:rsidP="00665218">
      <w:pPr>
        <w:pStyle w:val="NormalWeb"/>
        <w:spacing w:before="0" w:beforeAutospacing="0" w:after="0" w:afterAutospacing="0" w:line="480" w:lineRule="auto"/>
        <w:ind w:firstLine="720"/>
        <w:jc w:val="center"/>
        <w:rPr>
          <w:color w:val="1C1E29"/>
        </w:rPr>
      </w:pPr>
      <w:r>
        <w:rPr>
          <w:color w:val="1C1E29"/>
        </w:rPr>
        <w:t>Date:</w:t>
      </w:r>
    </w:p>
    <w:p w:rsidR="00665218" w:rsidRDefault="00665218" w:rsidP="00665218">
      <w:pPr>
        <w:pStyle w:val="NormalWeb"/>
        <w:spacing w:before="0" w:beforeAutospacing="0" w:after="0" w:afterAutospacing="0" w:line="480" w:lineRule="auto"/>
        <w:ind w:firstLine="720"/>
        <w:jc w:val="both"/>
        <w:rPr>
          <w:color w:val="1C1E29"/>
        </w:rPr>
      </w:pPr>
    </w:p>
    <w:p w:rsidR="00665218" w:rsidRDefault="00665218" w:rsidP="00665218">
      <w:pPr>
        <w:pStyle w:val="NormalWeb"/>
        <w:spacing w:before="0" w:beforeAutospacing="0" w:after="0" w:afterAutospacing="0" w:line="480" w:lineRule="auto"/>
        <w:ind w:firstLine="720"/>
        <w:jc w:val="both"/>
        <w:rPr>
          <w:color w:val="1C1E29"/>
        </w:rPr>
      </w:pPr>
    </w:p>
    <w:p w:rsidR="00665218" w:rsidRDefault="00665218" w:rsidP="00665218">
      <w:pPr>
        <w:pStyle w:val="NormalWeb"/>
        <w:spacing w:before="0" w:beforeAutospacing="0" w:after="0" w:afterAutospacing="0" w:line="480" w:lineRule="auto"/>
        <w:ind w:firstLine="720"/>
        <w:jc w:val="both"/>
        <w:rPr>
          <w:color w:val="1C1E29"/>
        </w:rPr>
      </w:pPr>
    </w:p>
    <w:p w:rsidR="00665218" w:rsidRDefault="00665218" w:rsidP="00665218">
      <w:pPr>
        <w:pStyle w:val="NormalWeb"/>
        <w:spacing w:before="0" w:beforeAutospacing="0" w:after="0" w:afterAutospacing="0" w:line="480" w:lineRule="auto"/>
        <w:ind w:firstLine="720"/>
        <w:jc w:val="both"/>
        <w:rPr>
          <w:color w:val="1C1E29"/>
        </w:rPr>
      </w:pPr>
    </w:p>
    <w:p w:rsidR="00665218" w:rsidRDefault="00665218" w:rsidP="00665218">
      <w:pPr>
        <w:pStyle w:val="NormalWeb"/>
        <w:spacing w:before="0" w:beforeAutospacing="0" w:after="0" w:afterAutospacing="0" w:line="480" w:lineRule="auto"/>
        <w:ind w:firstLine="720"/>
        <w:jc w:val="both"/>
        <w:rPr>
          <w:color w:val="1C1E29"/>
        </w:rPr>
      </w:pPr>
    </w:p>
    <w:p w:rsidR="00665218" w:rsidRDefault="00665218" w:rsidP="00665218">
      <w:pPr>
        <w:pStyle w:val="NormalWeb"/>
        <w:spacing w:before="0" w:beforeAutospacing="0" w:after="0" w:afterAutospacing="0" w:line="480" w:lineRule="auto"/>
        <w:ind w:firstLine="720"/>
        <w:jc w:val="both"/>
        <w:rPr>
          <w:color w:val="1C1E29"/>
        </w:rPr>
      </w:pPr>
    </w:p>
    <w:p w:rsidR="00665218" w:rsidRDefault="00665218" w:rsidP="00665218">
      <w:pPr>
        <w:pStyle w:val="NormalWeb"/>
        <w:spacing w:before="0" w:beforeAutospacing="0" w:after="0" w:afterAutospacing="0" w:line="480" w:lineRule="auto"/>
        <w:ind w:firstLine="720"/>
        <w:jc w:val="both"/>
        <w:rPr>
          <w:color w:val="1C1E29"/>
        </w:rPr>
      </w:pPr>
    </w:p>
    <w:p w:rsidR="00665218" w:rsidRDefault="00665218" w:rsidP="00665218">
      <w:pPr>
        <w:pStyle w:val="NormalWeb"/>
        <w:spacing w:before="0" w:beforeAutospacing="0" w:after="0" w:afterAutospacing="0" w:line="480" w:lineRule="auto"/>
        <w:ind w:firstLine="720"/>
        <w:jc w:val="both"/>
        <w:rPr>
          <w:color w:val="1C1E29"/>
        </w:rPr>
      </w:pPr>
    </w:p>
    <w:p w:rsidR="00665218" w:rsidRDefault="00665218" w:rsidP="00665218">
      <w:pPr>
        <w:pStyle w:val="NormalWeb"/>
        <w:spacing w:before="0" w:beforeAutospacing="0" w:after="0" w:afterAutospacing="0" w:line="480" w:lineRule="auto"/>
        <w:ind w:firstLine="720"/>
        <w:jc w:val="both"/>
        <w:rPr>
          <w:color w:val="1C1E29"/>
        </w:rPr>
      </w:pPr>
    </w:p>
    <w:p w:rsidR="00665218" w:rsidRDefault="00665218" w:rsidP="00665218">
      <w:pPr>
        <w:pStyle w:val="NormalWeb"/>
        <w:spacing w:before="0" w:beforeAutospacing="0" w:after="0" w:afterAutospacing="0" w:line="480" w:lineRule="auto"/>
        <w:ind w:firstLine="720"/>
        <w:jc w:val="center"/>
        <w:rPr>
          <w:color w:val="1C1E29"/>
        </w:rPr>
      </w:pPr>
      <w:r>
        <w:rPr>
          <w:color w:val="1C1E29"/>
        </w:rPr>
        <w:lastRenderedPageBreak/>
        <w:t>Economic Burdens of Rising Healthcare Cost</w:t>
      </w:r>
    </w:p>
    <w:p w:rsidR="00665218" w:rsidRDefault="00665218" w:rsidP="00665218">
      <w:pPr>
        <w:pStyle w:val="NormalWeb"/>
        <w:spacing w:before="0" w:beforeAutospacing="0" w:after="0" w:afterAutospacing="0" w:line="480" w:lineRule="auto"/>
        <w:ind w:firstLine="720"/>
        <w:jc w:val="both"/>
        <w:rPr>
          <w:color w:val="1C1E29"/>
        </w:rPr>
      </w:pPr>
      <w:r>
        <w:rPr>
          <w:color w:val="1C1E29"/>
        </w:rPr>
        <w:t xml:space="preserve">Healthcare promotion seeks to ensure that individuals have significant control over their health. </w:t>
      </w:r>
      <w:r w:rsidR="00785F78">
        <w:rPr>
          <w:color w:val="1C1E29"/>
        </w:rPr>
        <w:t>The</w:t>
      </w:r>
      <w:r>
        <w:rPr>
          <w:color w:val="1C1E29"/>
        </w:rPr>
        <w:t xml:space="preserve"> healthcare promotion includes both the social, economic and environmental measures to promote the health of individuals. Markedly, health promotion tends to avert the primary causes of diseases and also through focusing on a system that might enhance efficiency regarding the delivery of healthcare. Conversely, as much as efforts have been designed to enhance the effective delivery of healthcare, most individuals still face the economic burdens and other social implications with regards to access to healthcare. </w:t>
      </w:r>
      <w:r w:rsidR="00785F78">
        <w:rPr>
          <w:color w:val="1C1E29"/>
        </w:rPr>
        <w:t>Certainly,</w:t>
      </w:r>
      <w:r>
        <w:rPr>
          <w:color w:val="1C1E29"/>
        </w:rPr>
        <w:t xml:space="preserve"> an increased healthcare cost results in financial difficulties and individuals might go into debt in a bid to service their medical costs. A significant number of individuals especially in developing countries live below the poverty line, and thus are unable to offset some of their medical costs that might result in debts. Furthermore, the rising healthcare costs make it difficult to receive the ancillary services and individuals tend to only depend on primary care which might not have the necessary positive impacts.</w:t>
      </w:r>
    </w:p>
    <w:p w:rsidR="00665218" w:rsidRDefault="00665218" w:rsidP="00665218">
      <w:pPr>
        <w:pStyle w:val="NormalWeb"/>
        <w:spacing w:before="0" w:beforeAutospacing="0" w:after="0" w:afterAutospacing="0" w:line="480" w:lineRule="auto"/>
        <w:ind w:firstLine="720"/>
        <w:jc w:val="both"/>
        <w:rPr>
          <w:color w:val="1C1E29"/>
        </w:rPr>
      </w:pPr>
      <w:r>
        <w:rPr>
          <w:color w:val="1C1E29"/>
        </w:rPr>
        <w:t>Most count</w:t>
      </w:r>
      <w:r w:rsidR="00F10AA1">
        <w:rPr>
          <w:color w:val="1C1E29"/>
        </w:rPr>
        <w:t>r</w:t>
      </w:r>
      <w:r>
        <w:rPr>
          <w:color w:val="1C1E29"/>
        </w:rPr>
        <w:t xml:space="preserve">ies have invested significant efforts to address the issue of rising healthcare costs. </w:t>
      </w:r>
      <w:r w:rsidR="00785F78">
        <w:rPr>
          <w:color w:val="1C1E29"/>
        </w:rPr>
        <w:t>A</w:t>
      </w:r>
      <w:r>
        <w:rPr>
          <w:color w:val="1C1E29"/>
        </w:rPr>
        <w:t xml:space="preserve">lthough developed nations have made steps towards the right direction for providing universal coverage, most of the patients especially those with chronic illness especially the terminal diseases to deal with the significant financial burden in a bid to seek treatment. </w:t>
      </w:r>
      <w:r w:rsidR="00785F78">
        <w:rPr>
          <w:color w:val="1C1E29"/>
        </w:rPr>
        <w:t xml:space="preserve">The fact is that the </w:t>
      </w:r>
      <w:r>
        <w:rPr>
          <w:color w:val="1C1E29"/>
        </w:rPr>
        <w:t>universal coverage in most of healthcare system</w:t>
      </w:r>
      <w:r w:rsidR="006E3B8D">
        <w:rPr>
          <w:color w:val="1C1E29"/>
        </w:rPr>
        <w:t>s</w:t>
      </w:r>
      <w:r>
        <w:rPr>
          <w:color w:val="1C1E29"/>
        </w:rPr>
        <w:t xml:space="preserve"> seeks to provide the basic benefits and thus most of the patients are obliged to cover their medical bills (Knaul, Bhadelia, Atun &amp; Frenk, 2015). </w:t>
      </w:r>
      <w:r w:rsidR="00785F78">
        <w:rPr>
          <w:color w:val="1C1E29"/>
        </w:rPr>
        <w:t>In this case, the</w:t>
      </w:r>
      <w:r>
        <w:rPr>
          <w:color w:val="1C1E29"/>
        </w:rPr>
        <w:t xml:space="preserve"> past literature has invested efforts to only address the impacts of terminal illness but have failed to include the issue of healthcare costs. This study will provide valuable insights into the economic burdens and also other implications of increased healthcare </w:t>
      </w:r>
      <w:r>
        <w:rPr>
          <w:color w:val="1C1E29"/>
        </w:rPr>
        <w:lastRenderedPageBreak/>
        <w:t xml:space="preserve">costs. Therefore, it provides substantial impacts on the healthcare costs which might be brought by both the normal conditions and also the chronic conditions. </w:t>
      </w:r>
      <w:r w:rsidR="00BF00AB">
        <w:rPr>
          <w:color w:val="1C1E29"/>
        </w:rPr>
        <w:t>I</w:t>
      </w:r>
      <w:r>
        <w:rPr>
          <w:color w:val="1C1E29"/>
        </w:rPr>
        <w:t>t is imperative to note that most countries, especially in developing countries, have taken measures to spread the risk of healthcare for some of the basic conditions. Thus the rising healthcare costs tend to have significant implications for patients with chronic conditions. Consequently, this is attributed to the costly procedures that need to be performed for chronic illness and because the cover tends to partially cover medical costs and other costs are left for the patient to cover. </w:t>
      </w:r>
    </w:p>
    <w:p w:rsidR="00665218" w:rsidRDefault="00665218" w:rsidP="00665218">
      <w:pPr>
        <w:pStyle w:val="NormalWeb"/>
        <w:spacing w:before="0" w:beforeAutospacing="0" w:after="0" w:afterAutospacing="0" w:line="480" w:lineRule="auto"/>
        <w:ind w:firstLine="720"/>
        <w:jc w:val="both"/>
        <w:rPr>
          <w:color w:val="1C1E29"/>
        </w:rPr>
      </w:pPr>
      <w:r>
        <w:rPr>
          <w:color w:val="1C1E29"/>
        </w:rPr>
        <w:t xml:space="preserve">Healthcare costs are associated with the patients being unable to seek medical treatment and provide for their needs. Notably, a study undertaken has mainly highlighted the financial difficulties and the inability to engage in productive activities as the major economic burdens. </w:t>
      </w:r>
      <w:r w:rsidR="00BF00AB">
        <w:rPr>
          <w:color w:val="1C1E29"/>
        </w:rPr>
        <w:t>A</w:t>
      </w:r>
      <w:r>
        <w:rPr>
          <w:color w:val="1C1E29"/>
        </w:rPr>
        <w:t xml:space="preserve"> high health cost makes it difficult for individuals to seek major services including medication adherence and also the need for appropriate medical attention. </w:t>
      </w:r>
      <w:r w:rsidR="00BF00AB">
        <w:rPr>
          <w:color w:val="1C1E29"/>
        </w:rPr>
        <w:t>However,</w:t>
      </w:r>
      <w:r>
        <w:rPr>
          <w:color w:val="1C1E29"/>
        </w:rPr>
        <w:t xml:space="preserve"> the high cost of healthcare has economic burdens for both the patients who come from high-income families and those from low-income families. According to Banegas et al., (2016), the rising healthcare costs significantly impact on individuals with chronic illness. Most cancer survivors incur debts and file for bankruptcy that most cancer survivors incur because of the increased cost of healthcare. Often, medical procedures for terminal illness are expensive and thus results in financial burdens for patients and their families. </w:t>
      </w:r>
      <w:r w:rsidR="006E3B8D">
        <w:rPr>
          <w:color w:val="1C1E29"/>
        </w:rPr>
        <w:t>H</w:t>
      </w:r>
      <w:r>
        <w:rPr>
          <w:color w:val="1C1E29"/>
        </w:rPr>
        <w:t xml:space="preserve">igh healthcare costs make it difficult for individuals with chronic conditions such as cancer to seek healthcare. Notably, patients have to incur financial difficulties and in extreme cases have to incur debts to seek treatment. It is evident that medical services, especially for chronic conditions such as cancer, tend to be costly. Cancer patients especially those with lower income had a higher likelihood of going into debt. </w:t>
      </w:r>
      <w:r w:rsidR="00BF00AB">
        <w:rPr>
          <w:color w:val="1C1E29"/>
        </w:rPr>
        <w:t>I</w:t>
      </w:r>
      <w:r>
        <w:rPr>
          <w:color w:val="1C1E29"/>
        </w:rPr>
        <w:t xml:space="preserve">ndividuals who are working also have financial difficulties especially because they depend on employment to help carter to </w:t>
      </w:r>
      <w:r>
        <w:rPr>
          <w:color w:val="1C1E29"/>
        </w:rPr>
        <w:lastRenderedPageBreak/>
        <w:t>their healthcare costs. Rising healthcare costs might result in individuals even to stop their employment because a cancer diagnostic without the proper medical attention might result in disability and eventually individuals being unable to engage in any productive activity. This might increase the dependency ratio that might negatively impact on the wellbeing of individuals. Therefore, through developing a comprehensive understanding of financial difficulties and also bankruptcy due to the high cost of seeking medical attention, the source highlights the potential need for assistance including payment and medication assistance, that is,</w:t>
      </w:r>
    </w:p>
    <w:p w:rsidR="00665218" w:rsidRDefault="00665218" w:rsidP="00665218">
      <w:pPr>
        <w:pStyle w:val="NormalWeb"/>
        <w:spacing w:before="0" w:beforeAutospacing="0" w:after="0" w:afterAutospacing="0" w:line="480" w:lineRule="auto"/>
        <w:ind w:firstLine="720"/>
        <w:jc w:val="both"/>
        <w:rPr>
          <w:color w:val="1C1E29"/>
        </w:rPr>
      </w:pPr>
      <w:r>
        <w:rPr>
          <w:color w:val="1C1E29"/>
        </w:rPr>
        <w:t xml:space="preserve">An increased cost-sharing among patient especially beyond the threshold might have adverse impacts on medication adherence. There are significant factors that result in non-adherence among patients which include forgetfulness, the perceived side effects, and high drug costs. </w:t>
      </w:r>
      <w:r w:rsidR="00F84683">
        <w:rPr>
          <w:color w:val="1C1E29"/>
        </w:rPr>
        <w:t>A</w:t>
      </w:r>
      <w:r>
        <w:rPr>
          <w:color w:val="1C1E29"/>
        </w:rPr>
        <w:t xml:space="preserve">dherence, especially for medication for chronic conditions, might be a struggle for most patients especially because of high costs of health or drug costs. </w:t>
      </w:r>
      <w:r w:rsidR="00F84683">
        <w:rPr>
          <w:color w:val="1C1E29"/>
        </w:rPr>
        <w:t>The</w:t>
      </w:r>
      <w:r>
        <w:rPr>
          <w:color w:val="1C1E29"/>
        </w:rPr>
        <w:t xml:space="preserve"> chronic conditions entail making multiple hospital visits and this might be costly for most of the patients. Thus, most patients have to incur high costs for adherence, which makes it difficult. Non-adherence is usually attributed to poor health outcomes among patients. Thus, non-adherence is a significant contributing factor to the cost of healthcare because of the overutilization of health and thus most patients tend to bear the cost of adherence.</w:t>
      </w:r>
    </w:p>
    <w:p w:rsidR="00665218" w:rsidRDefault="00665218" w:rsidP="00665218">
      <w:pPr>
        <w:pStyle w:val="NormalWeb"/>
        <w:spacing w:before="0" w:beforeAutospacing="0" w:after="0" w:afterAutospacing="0" w:line="480" w:lineRule="auto"/>
        <w:ind w:firstLine="720"/>
        <w:jc w:val="both"/>
        <w:rPr>
          <w:color w:val="1C1E29"/>
        </w:rPr>
      </w:pPr>
      <w:r>
        <w:rPr>
          <w:color w:val="1C1E29"/>
        </w:rPr>
        <w:t xml:space="preserve">Most of the patients had to remain at their jobs even against their will because of the fear that they might lose the insurance coverage. </w:t>
      </w:r>
      <w:r w:rsidR="003663C8">
        <w:rPr>
          <w:color w:val="1C1E29"/>
        </w:rPr>
        <w:t>The reason is that</w:t>
      </w:r>
      <w:r>
        <w:rPr>
          <w:color w:val="1C1E29"/>
        </w:rPr>
        <w:t xml:space="preserve"> patients are forced to continue working but significant limitations hinder their status mobility within the workplace. Regarding employment, most of the patients had to make the necessary changes including taking an extended time off or even working part-time. Notably, there is a huge impact on the personal finances of individuals when they work part-time as there is reduced income as opposed to when </w:t>
      </w:r>
      <w:r>
        <w:rPr>
          <w:color w:val="1C1E29"/>
        </w:rPr>
        <w:lastRenderedPageBreak/>
        <w:t>individuals work fulltime (Nekhlyudov et al., 2015). Often, cancer patients face significant difficulties with employment especially because of the temporary disability especially when they cannot afford appropriate medical care. Secondly, patients also have to bear with the adverse impacts such as increased expenditure that reduces personal finances since public insurance has limits of coverage. The expenditure results in financial constraints. </w:t>
      </w:r>
    </w:p>
    <w:p w:rsidR="00665218" w:rsidRDefault="00665218" w:rsidP="00665218">
      <w:pPr>
        <w:pStyle w:val="NormalWeb"/>
        <w:spacing w:before="0" w:beforeAutospacing="0" w:after="0" w:afterAutospacing="0" w:line="480" w:lineRule="auto"/>
        <w:ind w:firstLine="720"/>
        <w:jc w:val="both"/>
        <w:rPr>
          <w:color w:val="1C1E29"/>
        </w:rPr>
      </w:pPr>
      <w:r>
        <w:rPr>
          <w:color w:val="1C1E29"/>
        </w:rPr>
        <w:t>Increased healthcare costs make it difficult for individuals to afford emergency care treatment which is required frequently by Asthma patients. This condition has both direct and indirect costs for patients. Some of the indirect costs include the level of visiting emergency services, hospital admissions, and outpatient visits. Indirect costs are significant with individuals being unable to engage in any productive activities. It is imperative to note that productivity loss might be partial as individuals also experience restricted workdays due to absenteeism. For children especially the asthmatic child might experience reduced school attendance and usually loses about 3-5 school days and parents to the asthmatic children with exacerbated symptoms (Nunes, Pereira &amp; Morais-Almeida, 2017). Low-income populations and patients living in families with financial constraints, they tend to suffer high morbidity and mortality costs because of asthma. Often, most of the minority communities are unable to seek quality treatment. Moreover, in poor households, the families of patients have to incur small costs associated with health promotion and disease control might be the source of financial disasters and also might be perceived as a catastrophic expenditure for the family.</w:t>
      </w:r>
    </w:p>
    <w:p w:rsidR="00665218" w:rsidRDefault="002314F7" w:rsidP="00665218">
      <w:pPr>
        <w:pStyle w:val="NormalWeb"/>
        <w:spacing w:before="0" w:beforeAutospacing="0" w:after="0" w:afterAutospacing="0" w:line="480" w:lineRule="auto"/>
        <w:ind w:firstLine="720"/>
        <w:jc w:val="both"/>
        <w:rPr>
          <w:color w:val="1C1E29"/>
        </w:rPr>
      </w:pPr>
      <w:r>
        <w:rPr>
          <w:color w:val="1C1E29"/>
        </w:rPr>
        <w:t>Nonetheless,</w:t>
      </w:r>
      <w:r w:rsidR="00665218">
        <w:rPr>
          <w:color w:val="1C1E29"/>
        </w:rPr>
        <w:t xml:space="preserve"> most of the patients had to incur a debt obligation of more than $10,000 (Yabroff et al., 2016). Additionally, most of the cancer patients especially those who are younger and with public insurance had a higher likelihood of going into debt as compared to the older, with higher income. Regardless of the insurance status most of the working class cancer patients </w:t>
      </w:r>
      <w:r w:rsidR="00665218">
        <w:rPr>
          <w:color w:val="1C1E29"/>
        </w:rPr>
        <w:lastRenderedPageBreak/>
        <w:t>experience financial hardships following because of the increased expenses in seeking healthcare for cancer. It is worth noting that individuals undergoing debts are attributed to the rising cost of healthcare especially cancer because of the expensive medical procedures in trying to stop the cancer cells. The implication here is that those who are younger, had public insurance and from low-income families are at a greater risk as opposed to those with high income. This is a consequence of the increasing cost of healthcare which surpasses the disposable income of patients. In a bid to balance between their healthcare needs and also other necessities the working-age cancer survivors are left with the sole option of seeking financial aid which results in debts.</w:t>
      </w:r>
    </w:p>
    <w:p w:rsidR="00665218" w:rsidRPr="00665218" w:rsidRDefault="00665218" w:rsidP="00665218">
      <w:pPr>
        <w:pStyle w:val="NormalWeb"/>
        <w:spacing w:before="0" w:beforeAutospacing="0" w:after="0" w:afterAutospacing="0" w:line="480" w:lineRule="auto"/>
        <w:jc w:val="center"/>
        <w:rPr>
          <w:b/>
          <w:color w:val="1C1E29"/>
        </w:rPr>
      </w:pPr>
      <w:r w:rsidRPr="00665218">
        <w:rPr>
          <w:b/>
          <w:color w:val="1C1E29"/>
        </w:rPr>
        <w:t>Conclusion</w:t>
      </w:r>
    </w:p>
    <w:p w:rsidR="00665218" w:rsidRDefault="00665218" w:rsidP="00665218">
      <w:pPr>
        <w:pStyle w:val="NormalWeb"/>
        <w:spacing w:before="0" w:beforeAutospacing="0" w:after="0" w:afterAutospacing="0" w:line="480" w:lineRule="auto"/>
        <w:ind w:firstLine="720"/>
        <w:jc w:val="both"/>
        <w:rPr>
          <w:color w:val="1C1E29"/>
        </w:rPr>
      </w:pPr>
      <w:r>
        <w:rPr>
          <w:color w:val="1C1E29"/>
        </w:rPr>
        <w:t xml:space="preserve">It is evident that the rising cost of healthcare has significant adverse implications and also economic burdens on patients. </w:t>
      </w:r>
      <w:r w:rsidR="003A73AC">
        <w:rPr>
          <w:color w:val="1C1E29"/>
        </w:rPr>
        <w:t>M</w:t>
      </w:r>
      <w:r>
        <w:rPr>
          <w:color w:val="1C1E29"/>
        </w:rPr>
        <w:t xml:space="preserve">ost of the patients especially those with chronic conditions tend to be the most affected because of the high medical costs. </w:t>
      </w:r>
      <w:r w:rsidR="003A73AC">
        <w:rPr>
          <w:color w:val="1C1E29"/>
        </w:rPr>
        <w:t>P</w:t>
      </w:r>
      <w:r>
        <w:rPr>
          <w:color w:val="1C1E29"/>
        </w:rPr>
        <w:t xml:space="preserve">atients with terminal illnesses are unable to bear with the high healthcare costs especially when undergoing costly procedures. Often, patients and their families are left with the choice of undergoing financial debts in a bid to offset their medical debts. Additionally, the high cost of healthcare is positively associated with the disability that emanates from the patient's condition. </w:t>
      </w:r>
      <w:r w:rsidR="003A73AC">
        <w:rPr>
          <w:color w:val="1C1E29"/>
        </w:rPr>
        <w:t>A</w:t>
      </w:r>
      <w:r>
        <w:rPr>
          <w:color w:val="1C1E29"/>
        </w:rPr>
        <w:t xml:space="preserve">ll this association tends to be direct since the disability is associated with the increasing cost of healthcare. </w:t>
      </w:r>
      <w:r w:rsidR="003A73AC">
        <w:rPr>
          <w:color w:val="1C1E29"/>
        </w:rPr>
        <w:t>M</w:t>
      </w:r>
      <w:r>
        <w:rPr>
          <w:color w:val="1C1E29"/>
        </w:rPr>
        <w:t xml:space="preserve">ost patients with chronic conditions are obliged to enhance medication adherence to get positive health outcomes. Moreover, most of the patients are unable to enhance adherence and some of the factors include the cost of drugs and other personal aspects such as forgetfulness. This results in negative outcomes such as temporary or even permanent disability. </w:t>
      </w:r>
      <w:r w:rsidR="003A73AC">
        <w:rPr>
          <w:color w:val="1C1E29"/>
        </w:rPr>
        <w:t>P</w:t>
      </w:r>
      <w:r>
        <w:rPr>
          <w:color w:val="1C1E29"/>
        </w:rPr>
        <w:t xml:space="preserve">atients are forced to make changes including reducing their working time and sometimes take early retirement for the elderly. Thus, </w:t>
      </w:r>
      <w:r>
        <w:rPr>
          <w:color w:val="1C1E29"/>
        </w:rPr>
        <w:lastRenderedPageBreak/>
        <w:t xml:space="preserve">the lack of financial capacity to afford the healthcare might, in turn, reduce the productivity of patients and they might end </w:t>
      </w:r>
      <w:r w:rsidRPr="003A73AC">
        <w:rPr>
          <w:color w:val="1C1E29"/>
        </w:rPr>
        <w:t>u</w:t>
      </w:r>
      <w:r w:rsidR="003A73AC">
        <w:rPr>
          <w:color w:val="1C1E29"/>
        </w:rPr>
        <w:t>p</w:t>
      </w:r>
      <w:r>
        <w:rPr>
          <w:color w:val="1C1E29"/>
        </w:rPr>
        <w:t xml:space="preserve"> becoming a burden to their families. It is sufficient to also to note that there are also other psychological implications especially when the patients remain worried and are more concerned about the unpaid medical bills. This has a significant toll on the wellbeing of patients.</w:t>
      </w:r>
      <w:r w:rsidR="004C5056">
        <w:rPr>
          <w:color w:val="1C1E29"/>
        </w:rPr>
        <w:t xml:space="preserve"> </w:t>
      </w:r>
    </w:p>
    <w:p w:rsidR="00665218" w:rsidRDefault="00665218" w:rsidP="00665218">
      <w:pPr>
        <w:pStyle w:val="NormalWeb"/>
        <w:spacing w:before="0" w:beforeAutospacing="0" w:after="0" w:afterAutospacing="0" w:line="480" w:lineRule="auto"/>
        <w:ind w:firstLine="720"/>
        <w:jc w:val="center"/>
        <w:rPr>
          <w:color w:val="1C1E29"/>
        </w:rPr>
      </w:pPr>
    </w:p>
    <w:p w:rsidR="00665218" w:rsidRDefault="00665218" w:rsidP="00665218">
      <w:pPr>
        <w:pStyle w:val="NormalWeb"/>
        <w:spacing w:before="0" w:beforeAutospacing="0" w:after="0" w:afterAutospacing="0" w:line="480" w:lineRule="auto"/>
        <w:ind w:firstLine="720"/>
        <w:jc w:val="center"/>
        <w:rPr>
          <w:color w:val="1C1E29"/>
        </w:rPr>
      </w:pPr>
    </w:p>
    <w:p w:rsidR="00665218" w:rsidRDefault="00665218" w:rsidP="00665218">
      <w:pPr>
        <w:pStyle w:val="NormalWeb"/>
        <w:spacing w:before="0" w:beforeAutospacing="0" w:after="0" w:afterAutospacing="0" w:line="480" w:lineRule="auto"/>
        <w:ind w:firstLine="720"/>
        <w:jc w:val="center"/>
        <w:rPr>
          <w:color w:val="1C1E29"/>
        </w:rPr>
      </w:pPr>
    </w:p>
    <w:p w:rsidR="00665218" w:rsidRDefault="00665218" w:rsidP="00665218">
      <w:pPr>
        <w:pStyle w:val="NormalWeb"/>
        <w:spacing w:before="0" w:beforeAutospacing="0" w:after="0" w:afterAutospacing="0" w:line="480" w:lineRule="auto"/>
        <w:ind w:firstLine="720"/>
        <w:jc w:val="center"/>
        <w:rPr>
          <w:color w:val="1C1E29"/>
        </w:rPr>
      </w:pPr>
    </w:p>
    <w:p w:rsidR="00665218" w:rsidRDefault="00665218" w:rsidP="00665218">
      <w:pPr>
        <w:pStyle w:val="NormalWeb"/>
        <w:spacing w:before="0" w:beforeAutospacing="0" w:after="0" w:afterAutospacing="0" w:line="480" w:lineRule="auto"/>
        <w:ind w:firstLine="720"/>
        <w:jc w:val="center"/>
        <w:rPr>
          <w:color w:val="1C1E29"/>
        </w:rPr>
      </w:pPr>
    </w:p>
    <w:p w:rsidR="00665218" w:rsidRDefault="00665218" w:rsidP="00665218">
      <w:pPr>
        <w:pStyle w:val="NormalWeb"/>
        <w:spacing w:before="0" w:beforeAutospacing="0" w:after="0" w:afterAutospacing="0" w:line="480" w:lineRule="auto"/>
        <w:ind w:firstLine="720"/>
        <w:jc w:val="center"/>
        <w:rPr>
          <w:color w:val="1C1E29"/>
        </w:rPr>
      </w:pPr>
    </w:p>
    <w:p w:rsidR="00665218" w:rsidRDefault="00665218" w:rsidP="00665218">
      <w:pPr>
        <w:pStyle w:val="NormalWeb"/>
        <w:spacing w:before="0" w:beforeAutospacing="0" w:after="0" w:afterAutospacing="0" w:line="480" w:lineRule="auto"/>
        <w:ind w:firstLine="720"/>
        <w:jc w:val="center"/>
        <w:rPr>
          <w:color w:val="1C1E29"/>
        </w:rPr>
      </w:pPr>
    </w:p>
    <w:p w:rsidR="00665218" w:rsidRDefault="00665218" w:rsidP="00665218">
      <w:pPr>
        <w:pStyle w:val="NormalWeb"/>
        <w:spacing w:before="0" w:beforeAutospacing="0" w:after="0" w:afterAutospacing="0" w:line="480" w:lineRule="auto"/>
        <w:ind w:firstLine="720"/>
        <w:jc w:val="center"/>
        <w:rPr>
          <w:color w:val="1C1E29"/>
        </w:rPr>
      </w:pPr>
    </w:p>
    <w:p w:rsidR="00665218" w:rsidRDefault="00665218" w:rsidP="00665218">
      <w:pPr>
        <w:pStyle w:val="NormalWeb"/>
        <w:spacing w:before="0" w:beforeAutospacing="0" w:after="0" w:afterAutospacing="0" w:line="480" w:lineRule="auto"/>
        <w:ind w:firstLine="720"/>
        <w:jc w:val="center"/>
        <w:rPr>
          <w:color w:val="1C1E29"/>
        </w:rPr>
      </w:pPr>
    </w:p>
    <w:p w:rsidR="00665218" w:rsidRDefault="00665218" w:rsidP="00665218">
      <w:pPr>
        <w:pStyle w:val="NormalWeb"/>
        <w:spacing w:before="0" w:beforeAutospacing="0" w:after="0" w:afterAutospacing="0" w:line="480" w:lineRule="auto"/>
        <w:ind w:firstLine="720"/>
        <w:jc w:val="center"/>
        <w:rPr>
          <w:color w:val="1C1E29"/>
        </w:rPr>
      </w:pPr>
    </w:p>
    <w:p w:rsidR="00665218" w:rsidRDefault="00665218" w:rsidP="00665218">
      <w:pPr>
        <w:pStyle w:val="NormalWeb"/>
        <w:spacing w:before="0" w:beforeAutospacing="0" w:after="0" w:afterAutospacing="0" w:line="480" w:lineRule="auto"/>
        <w:ind w:firstLine="720"/>
        <w:jc w:val="center"/>
        <w:rPr>
          <w:color w:val="1C1E29"/>
        </w:rPr>
      </w:pPr>
    </w:p>
    <w:p w:rsidR="00665218" w:rsidRDefault="00665218" w:rsidP="00665218">
      <w:pPr>
        <w:pStyle w:val="NormalWeb"/>
        <w:spacing w:before="0" w:beforeAutospacing="0" w:after="0" w:afterAutospacing="0" w:line="480" w:lineRule="auto"/>
        <w:ind w:firstLine="720"/>
        <w:jc w:val="center"/>
        <w:rPr>
          <w:color w:val="1C1E29"/>
        </w:rPr>
      </w:pPr>
    </w:p>
    <w:p w:rsidR="00665218" w:rsidRDefault="00665218" w:rsidP="00665218">
      <w:pPr>
        <w:pStyle w:val="NormalWeb"/>
        <w:spacing w:before="0" w:beforeAutospacing="0" w:after="0" w:afterAutospacing="0" w:line="480" w:lineRule="auto"/>
        <w:ind w:firstLine="720"/>
        <w:jc w:val="center"/>
        <w:rPr>
          <w:color w:val="1C1E29"/>
        </w:rPr>
      </w:pPr>
    </w:p>
    <w:p w:rsidR="00665218" w:rsidRDefault="00665218" w:rsidP="00665218">
      <w:pPr>
        <w:pStyle w:val="NormalWeb"/>
        <w:spacing w:before="0" w:beforeAutospacing="0" w:after="0" w:afterAutospacing="0" w:line="480" w:lineRule="auto"/>
        <w:ind w:firstLine="720"/>
        <w:jc w:val="center"/>
        <w:rPr>
          <w:color w:val="1C1E29"/>
        </w:rPr>
      </w:pPr>
    </w:p>
    <w:p w:rsidR="00665218" w:rsidRDefault="00665218" w:rsidP="00665218">
      <w:pPr>
        <w:pStyle w:val="NormalWeb"/>
        <w:spacing w:before="0" w:beforeAutospacing="0" w:after="0" w:afterAutospacing="0" w:line="480" w:lineRule="auto"/>
        <w:ind w:firstLine="720"/>
        <w:jc w:val="center"/>
        <w:rPr>
          <w:color w:val="1C1E29"/>
        </w:rPr>
      </w:pPr>
    </w:p>
    <w:p w:rsidR="003A73AC" w:rsidRDefault="003A73AC" w:rsidP="00665218">
      <w:pPr>
        <w:pStyle w:val="NormalWeb"/>
        <w:spacing w:before="0" w:beforeAutospacing="0" w:after="0" w:afterAutospacing="0" w:line="480" w:lineRule="auto"/>
        <w:ind w:firstLine="720"/>
        <w:jc w:val="center"/>
        <w:rPr>
          <w:color w:val="1C1E29"/>
        </w:rPr>
      </w:pPr>
    </w:p>
    <w:p w:rsidR="003A73AC" w:rsidRDefault="003A73AC" w:rsidP="00665218">
      <w:pPr>
        <w:pStyle w:val="NormalWeb"/>
        <w:spacing w:before="0" w:beforeAutospacing="0" w:after="0" w:afterAutospacing="0" w:line="480" w:lineRule="auto"/>
        <w:ind w:firstLine="720"/>
        <w:jc w:val="center"/>
        <w:rPr>
          <w:color w:val="1C1E29"/>
        </w:rPr>
      </w:pPr>
    </w:p>
    <w:p w:rsidR="003A73AC" w:rsidRDefault="003A73AC" w:rsidP="00665218">
      <w:pPr>
        <w:pStyle w:val="NormalWeb"/>
        <w:spacing w:before="0" w:beforeAutospacing="0" w:after="0" w:afterAutospacing="0" w:line="480" w:lineRule="auto"/>
        <w:ind w:firstLine="720"/>
        <w:jc w:val="center"/>
        <w:rPr>
          <w:color w:val="1C1E29"/>
        </w:rPr>
      </w:pPr>
    </w:p>
    <w:p w:rsidR="00665218" w:rsidRDefault="00665218" w:rsidP="00665218">
      <w:pPr>
        <w:pStyle w:val="NormalWeb"/>
        <w:spacing w:before="0" w:beforeAutospacing="0" w:after="0" w:afterAutospacing="0" w:line="480" w:lineRule="auto"/>
        <w:ind w:firstLine="720"/>
        <w:jc w:val="center"/>
        <w:rPr>
          <w:color w:val="1C1E29"/>
        </w:rPr>
      </w:pPr>
      <w:r>
        <w:rPr>
          <w:color w:val="1C1E29"/>
        </w:rPr>
        <w:lastRenderedPageBreak/>
        <w:t>References</w:t>
      </w:r>
    </w:p>
    <w:p w:rsidR="00665218" w:rsidRDefault="00665218" w:rsidP="00665218">
      <w:pPr>
        <w:pStyle w:val="NormalWeb"/>
        <w:spacing w:before="0" w:beforeAutospacing="0" w:after="0" w:afterAutospacing="0" w:line="480" w:lineRule="auto"/>
        <w:ind w:left="720" w:hanging="720"/>
        <w:jc w:val="both"/>
        <w:rPr>
          <w:color w:val="1C1E29"/>
        </w:rPr>
      </w:pPr>
      <w:r>
        <w:rPr>
          <w:color w:val="1C1E29"/>
        </w:rPr>
        <w:t>Banegas, M. P., Guy Jr, G. P., de Moor, J. S., Ekwueme, D. U., Virgo, K. S., Kent, E. E., ... &amp; Yabroff, K. R. (2016). For working-age cancer survivors, medical debt and bankruptcy create financial hardships. </w:t>
      </w:r>
      <w:r>
        <w:rPr>
          <w:rStyle w:val="Emphasis"/>
          <w:color w:val="1C1E29"/>
        </w:rPr>
        <w:t>Health Affairs</w:t>
      </w:r>
      <w:r>
        <w:rPr>
          <w:color w:val="1C1E29"/>
        </w:rPr>
        <w:t>, </w:t>
      </w:r>
      <w:r>
        <w:rPr>
          <w:rStyle w:val="Emphasis"/>
          <w:color w:val="1C1E29"/>
        </w:rPr>
        <w:t>35</w:t>
      </w:r>
      <w:r>
        <w:rPr>
          <w:color w:val="1C1E29"/>
        </w:rPr>
        <w:t>(1), 54-61.</w:t>
      </w:r>
    </w:p>
    <w:p w:rsidR="00665218" w:rsidRDefault="00665218" w:rsidP="00665218">
      <w:pPr>
        <w:pStyle w:val="NormalWeb"/>
        <w:spacing w:before="0" w:beforeAutospacing="0" w:after="0" w:afterAutospacing="0" w:line="480" w:lineRule="auto"/>
        <w:ind w:left="720" w:hanging="720"/>
        <w:jc w:val="both"/>
        <w:rPr>
          <w:color w:val="1C1E29"/>
        </w:rPr>
      </w:pPr>
      <w:r>
        <w:rPr>
          <w:color w:val="1C1E29"/>
        </w:rPr>
        <w:t>Knaul, F. M., Bhadelia, A., Atun, R., &amp; Frenk, J. (2015). Achieving effective universal health coverage and diagonal approaches to care for chronic illnesses. </w:t>
      </w:r>
      <w:r>
        <w:rPr>
          <w:rStyle w:val="Emphasis"/>
          <w:color w:val="1C1E29"/>
        </w:rPr>
        <w:t>Health Affairs</w:t>
      </w:r>
      <w:r>
        <w:rPr>
          <w:color w:val="1C1E29"/>
        </w:rPr>
        <w:t>, </w:t>
      </w:r>
      <w:r>
        <w:rPr>
          <w:rStyle w:val="Emphasis"/>
          <w:color w:val="1C1E29"/>
        </w:rPr>
        <w:t>34</w:t>
      </w:r>
      <w:r>
        <w:rPr>
          <w:color w:val="1C1E29"/>
        </w:rPr>
        <w:t>(9), 1514-1522.</w:t>
      </w:r>
    </w:p>
    <w:p w:rsidR="00665218" w:rsidRDefault="00665218" w:rsidP="00665218">
      <w:pPr>
        <w:pStyle w:val="NormalWeb"/>
        <w:spacing w:before="0" w:beforeAutospacing="0" w:after="0" w:afterAutospacing="0" w:line="480" w:lineRule="auto"/>
        <w:ind w:left="720" w:hanging="720"/>
        <w:jc w:val="both"/>
        <w:rPr>
          <w:color w:val="1C1E29"/>
        </w:rPr>
      </w:pPr>
      <w:r>
        <w:rPr>
          <w:color w:val="1C1E29"/>
        </w:rPr>
        <w:t>Nekhlyudov, L., Walker, R., Ziebell, R., Rabin, B., Nutt, S., &amp; Chubak, J. (2015). Cancer survivors’ experiences with insurance, employment, and personal finances: Results from a multi-site study.</w:t>
      </w:r>
    </w:p>
    <w:p w:rsidR="00665218" w:rsidRDefault="00665218" w:rsidP="00665218">
      <w:pPr>
        <w:pStyle w:val="NormalWeb"/>
        <w:spacing w:before="0" w:beforeAutospacing="0" w:after="0" w:afterAutospacing="0" w:line="480" w:lineRule="auto"/>
        <w:ind w:left="720" w:hanging="720"/>
        <w:jc w:val="both"/>
        <w:rPr>
          <w:color w:val="1C1E29"/>
        </w:rPr>
      </w:pPr>
      <w:r>
        <w:rPr>
          <w:color w:val="1C1E29"/>
        </w:rPr>
        <w:t>Nunes, C., Pereira, A. M., &amp; Morais-Almeida, M. (2017). Asthma costs and social impact. </w:t>
      </w:r>
      <w:r>
        <w:rPr>
          <w:rStyle w:val="Emphasis"/>
          <w:color w:val="1C1E29"/>
        </w:rPr>
        <w:t>Asthma research and practice</w:t>
      </w:r>
      <w:r>
        <w:rPr>
          <w:color w:val="1C1E29"/>
        </w:rPr>
        <w:t>, </w:t>
      </w:r>
      <w:r>
        <w:rPr>
          <w:rStyle w:val="Emphasis"/>
          <w:color w:val="1C1E29"/>
        </w:rPr>
        <w:t>3</w:t>
      </w:r>
      <w:r>
        <w:rPr>
          <w:color w:val="1C1E29"/>
        </w:rPr>
        <w:t>(1), 1.</w:t>
      </w:r>
    </w:p>
    <w:p w:rsidR="00665218" w:rsidRDefault="00665218" w:rsidP="00665218">
      <w:pPr>
        <w:pStyle w:val="NormalWeb"/>
        <w:spacing w:before="0" w:beforeAutospacing="0" w:after="0" w:afterAutospacing="0" w:line="480" w:lineRule="auto"/>
        <w:ind w:left="720" w:hanging="720"/>
        <w:jc w:val="both"/>
        <w:rPr>
          <w:color w:val="1C1E29"/>
        </w:rPr>
      </w:pPr>
      <w:r>
        <w:rPr>
          <w:color w:val="1C1E29"/>
        </w:rPr>
        <w:t>Yabroff, K. R., Dowling, E. C., Guy Jr, G. P., Banegas, M. P., Davidoff, A., Han, X., ... &amp; Kent, E. E. (2016). Financial hardship associated with cancer in the United States: findings from a population-based sample of adult cancer survivors. </w:t>
      </w:r>
      <w:r>
        <w:rPr>
          <w:rStyle w:val="Emphasis"/>
          <w:color w:val="1C1E29"/>
        </w:rPr>
        <w:t>Journal of Clinical Oncology</w:t>
      </w:r>
      <w:r>
        <w:rPr>
          <w:color w:val="1C1E29"/>
        </w:rPr>
        <w:t>, </w:t>
      </w:r>
      <w:r>
        <w:rPr>
          <w:rStyle w:val="Emphasis"/>
          <w:color w:val="1C1E29"/>
        </w:rPr>
        <w:t>34</w:t>
      </w:r>
      <w:r>
        <w:rPr>
          <w:color w:val="1C1E29"/>
        </w:rPr>
        <w:t>(3), 259.</w:t>
      </w:r>
    </w:p>
    <w:p w:rsidR="00665218" w:rsidRDefault="00665218" w:rsidP="00665218">
      <w:pPr>
        <w:pStyle w:val="NormalWeb"/>
        <w:spacing w:before="0" w:beforeAutospacing="0" w:after="0" w:afterAutospacing="0" w:line="480" w:lineRule="auto"/>
        <w:ind w:firstLine="720"/>
        <w:jc w:val="both"/>
        <w:rPr>
          <w:color w:val="1C1E29"/>
        </w:rPr>
      </w:pPr>
      <w:r>
        <w:rPr>
          <w:color w:val="1C1E29"/>
        </w:rPr>
        <w:t> </w:t>
      </w:r>
    </w:p>
    <w:p w:rsidR="00665218" w:rsidRDefault="00665218" w:rsidP="00665218">
      <w:pPr>
        <w:pStyle w:val="NormalWeb"/>
        <w:spacing w:before="0" w:beforeAutospacing="0" w:after="0" w:afterAutospacing="0" w:line="480" w:lineRule="auto"/>
        <w:ind w:firstLine="720"/>
        <w:jc w:val="both"/>
        <w:rPr>
          <w:color w:val="1C1E29"/>
        </w:rPr>
      </w:pPr>
      <w:r>
        <w:rPr>
          <w:color w:val="1C1E29"/>
        </w:rPr>
        <w:t> </w:t>
      </w:r>
    </w:p>
    <w:p w:rsidR="00BD00F0" w:rsidRDefault="00BD00F0" w:rsidP="00665218">
      <w:pPr>
        <w:spacing w:line="480" w:lineRule="auto"/>
        <w:ind w:firstLine="720"/>
        <w:jc w:val="both"/>
      </w:pPr>
    </w:p>
    <w:sectPr w:rsidR="00BD00F0" w:rsidSect="0091751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B7BB0" w:rsidRDefault="00AB7BB0" w:rsidP="004E7355">
      <w:pPr>
        <w:spacing w:after="0" w:line="240" w:lineRule="auto"/>
      </w:pPr>
      <w:r>
        <w:separator/>
      </w:r>
    </w:p>
  </w:endnote>
  <w:endnote w:type="continuationSeparator" w:id="1">
    <w:p w:rsidR="00AB7BB0" w:rsidRDefault="00AB7BB0" w:rsidP="004E735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B7BB0" w:rsidRDefault="00AB7BB0" w:rsidP="004E7355">
      <w:pPr>
        <w:spacing w:after="0" w:line="240" w:lineRule="auto"/>
      </w:pPr>
      <w:r>
        <w:separator/>
      </w:r>
    </w:p>
  </w:footnote>
  <w:footnote w:type="continuationSeparator" w:id="1">
    <w:p w:rsidR="00AB7BB0" w:rsidRDefault="00AB7BB0" w:rsidP="004E735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3453143"/>
      <w:docPartObj>
        <w:docPartGallery w:val="Page Numbers (Top of Page)"/>
        <w:docPartUnique/>
      </w:docPartObj>
    </w:sdtPr>
    <w:sdtContent>
      <w:p w:rsidR="004E7355" w:rsidRPr="0091751C" w:rsidRDefault="0091751C">
        <w:pPr>
          <w:pStyle w:val="Header"/>
          <w:rPr>
            <w:rFonts w:ascii="Times New Roman" w:hAnsi="Times New Roman" w:cs="Times New Roman"/>
            <w:sz w:val="24"/>
            <w:szCs w:val="24"/>
          </w:rPr>
        </w:pPr>
        <w:r w:rsidRPr="0091751C">
          <w:rPr>
            <w:rFonts w:ascii="Times New Roman" w:hAnsi="Times New Roman" w:cs="Times New Roman"/>
            <w:sz w:val="24"/>
            <w:szCs w:val="24"/>
          </w:rPr>
          <w:t>PAPER</w:t>
        </w:r>
        <w:r w:rsidRPr="0091751C">
          <w:rPr>
            <w:rFonts w:ascii="Times New Roman" w:hAnsi="Times New Roman" w:cs="Times New Roman"/>
            <w:sz w:val="24"/>
            <w:szCs w:val="24"/>
          </w:rPr>
          <w:tab/>
        </w:r>
        <w:r w:rsidRPr="0091751C">
          <w:rPr>
            <w:rFonts w:ascii="Times New Roman" w:hAnsi="Times New Roman" w:cs="Times New Roman"/>
            <w:sz w:val="24"/>
            <w:szCs w:val="24"/>
          </w:rPr>
          <w:tab/>
        </w:r>
        <w:r w:rsidRPr="0091751C">
          <w:rPr>
            <w:rFonts w:ascii="Times New Roman" w:hAnsi="Times New Roman" w:cs="Times New Roman"/>
            <w:sz w:val="24"/>
            <w:szCs w:val="24"/>
          </w:rPr>
          <w:fldChar w:fldCharType="begin"/>
        </w:r>
        <w:r w:rsidRPr="0091751C">
          <w:rPr>
            <w:rFonts w:ascii="Times New Roman" w:hAnsi="Times New Roman" w:cs="Times New Roman"/>
            <w:sz w:val="24"/>
            <w:szCs w:val="24"/>
          </w:rPr>
          <w:instrText xml:space="preserve"> PAGE   \* MERGEFORMAT </w:instrText>
        </w:r>
        <w:r w:rsidRPr="0091751C">
          <w:rPr>
            <w:rFonts w:ascii="Times New Roman" w:hAnsi="Times New Roman" w:cs="Times New Roman"/>
            <w:sz w:val="24"/>
            <w:szCs w:val="24"/>
          </w:rPr>
          <w:fldChar w:fldCharType="separate"/>
        </w:r>
        <w:r w:rsidR="00F10AA1">
          <w:rPr>
            <w:rFonts w:ascii="Times New Roman" w:hAnsi="Times New Roman" w:cs="Times New Roman"/>
            <w:noProof/>
            <w:sz w:val="24"/>
            <w:szCs w:val="24"/>
          </w:rPr>
          <w:t>2</w:t>
        </w:r>
        <w:r w:rsidRPr="0091751C">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7355" w:rsidRPr="0091751C" w:rsidRDefault="0091751C" w:rsidP="0091751C">
    <w:pPr>
      <w:pStyle w:val="Header"/>
      <w:jc w:val="right"/>
      <w:rPr>
        <w:rFonts w:ascii="Times New Roman" w:hAnsi="Times New Roman" w:cs="Times New Roman"/>
        <w:sz w:val="24"/>
        <w:szCs w:val="24"/>
      </w:rPr>
    </w:pPr>
    <w:r w:rsidRPr="0091751C">
      <w:rPr>
        <w:rFonts w:ascii="Times New Roman" w:hAnsi="Times New Roman" w:cs="Times New Roman"/>
        <w:sz w:val="24"/>
        <w:szCs w:val="24"/>
      </w:rPr>
      <w:t xml:space="preserve">Running head: PAPER </w:t>
    </w:r>
    <w:r w:rsidRPr="0091751C">
      <w:rPr>
        <w:rFonts w:ascii="Times New Roman" w:hAnsi="Times New Roman" w:cs="Times New Roman"/>
        <w:sz w:val="24"/>
        <w:szCs w:val="24"/>
      </w:rPr>
      <w:tab/>
    </w:r>
    <w:r w:rsidRPr="0091751C">
      <w:rPr>
        <w:rFonts w:ascii="Times New Roman" w:hAnsi="Times New Roman" w:cs="Times New Roman"/>
        <w:sz w:val="24"/>
        <w:szCs w:val="24"/>
      </w:rPr>
      <w:tab/>
    </w:r>
    <w:sdt>
      <w:sdtPr>
        <w:rPr>
          <w:rFonts w:ascii="Times New Roman" w:hAnsi="Times New Roman" w:cs="Times New Roman"/>
          <w:sz w:val="24"/>
          <w:szCs w:val="24"/>
        </w:rPr>
        <w:id w:val="3453111"/>
        <w:docPartObj>
          <w:docPartGallery w:val="Page Numbers (Top of Page)"/>
          <w:docPartUnique/>
        </w:docPartObj>
      </w:sdtPr>
      <w:sdtContent>
        <w:r w:rsidRPr="0091751C">
          <w:rPr>
            <w:rFonts w:ascii="Times New Roman" w:hAnsi="Times New Roman" w:cs="Times New Roman"/>
            <w:sz w:val="24"/>
            <w:szCs w:val="24"/>
          </w:rPr>
          <w:fldChar w:fldCharType="begin"/>
        </w:r>
        <w:r w:rsidRPr="0091751C">
          <w:rPr>
            <w:rFonts w:ascii="Times New Roman" w:hAnsi="Times New Roman" w:cs="Times New Roman"/>
            <w:sz w:val="24"/>
            <w:szCs w:val="24"/>
          </w:rPr>
          <w:instrText xml:space="preserve"> PAGE   \* MERGEFORMAT </w:instrText>
        </w:r>
        <w:r w:rsidRPr="0091751C">
          <w:rPr>
            <w:rFonts w:ascii="Times New Roman" w:hAnsi="Times New Roman" w:cs="Times New Roman"/>
            <w:sz w:val="24"/>
            <w:szCs w:val="24"/>
          </w:rPr>
          <w:fldChar w:fldCharType="separate"/>
        </w:r>
        <w:r w:rsidR="00F10AA1">
          <w:rPr>
            <w:rFonts w:ascii="Times New Roman" w:hAnsi="Times New Roman" w:cs="Times New Roman"/>
            <w:noProof/>
            <w:sz w:val="24"/>
            <w:szCs w:val="24"/>
          </w:rPr>
          <w:t>1</w:t>
        </w:r>
        <w:r w:rsidRPr="0091751C">
          <w:rPr>
            <w:rFonts w:ascii="Times New Roman" w:hAnsi="Times New Roman" w:cs="Times New Roman"/>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5256AA"/>
    <w:rsid w:val="00007AC6"/>
    <w:rsid w:val="00083045"/>
    <w:rsid w:val="000A1C43"/>
    <w:rsid w:val="000A72DD"/>
    <w:rsid w:val="00157B72"/>
    <w:rsid w:val="001B227F"/>
    <w:rsid w:val="002314F7"/>
    <w:rsid w:val="002400CE"/>
    <w:rsid w:val="00283B09"/>
    <w:rsid w:val="002A316C"/>
    <w:rsid w:val="002D1929"/>
    <w:rsid w:val="0030722B"/>
    <w:rsid w:val="003663C8"/>
    <w:rsid w:val="003A53DD"/>
    <w:rsid w:val="003A73AC"/>
    <w:rsid w:val="003D3816"/>
    <w:rsid w:val="0046068B"/>
    <w:rsid w:val="00480880"/>
    <w:rsid w:val="004843E4"/>
    <w:rsid w:val="004C5056"/>
    <w:rsid w:val="004E7355"/>
    <w:rsid w:val="005256AA"/>
    <w:rsid w:val="00583DD5"/>
    <w:rsid w:val="00615440"/>
    <w:rsid w:val="00665218"/>
    <w:rsid w:val="006E3B8D"/>
    <w:rsid w:val="00770DFD"/>
    <w:rsid w:val="007740C0"/>
    <w:rsid w:val="00785F78"/>
    <w:rsid w:val="007A65C6"/>
    <w:rsid w:val="008A6FE2"/>
    <w:rsid w:val="008F3B8B"/>
    <w:rsid w:val="0091751C"/>
    <w:rsid w:val="00A154AC"/>
    <w:rsid w:val="00A17EE5"/>
    <w:rsid w:val="00A65FF3"/>
    <w:rsid w:val="00AB3546"/>
    <w:rsid w:val="00AB447E"/>
    <w:rsid w:val="00AB7BB0"/>
    <w:rsid w:val="00AC6F4B"/>
    <w:rsid w:val="00B41218"/>
    <w:rsid w:val="00B56E96"/>
    <w:rsid w:val="00B65DC8"/>
    <w:rsid w:val="00BD00F0"/>
    <w:rsid w:val="00BF00AB"/>
    <w:rsid w:val="00C15C9D"/>
    <w:rsid w:val="00D66A4B"/>
    <w:rsid w:val="00D7358A"/>
    <w:rsid w:val="00DA5BA6"/>
    <w:rsid w:val="00DF1981"/>
    <w:rsid w:val="00E12C7E"/>
    <w:rsid w:val="00E517FC"/>
    <w:rsid w:val="00EF610E"/>
    <w:rsid w:val="00F10AA1"/>
    <w:rsid w:val="00F26C44"/>
    <w:rsid w:val="00F8468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6FE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480880"/>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4E7355"/>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7355"/>
  </w:style>
  <w:style w:type="paragraph" w:styleId="Footer">
    <w:name w:val="footer"/>
    <w:basedOn w:val="Normal"/>
    <w:link w:val="FooterChar"/>
    <w:uiPriority w:val="99"/>
    <w:semiHidden/>
    <w:unhideWhenUsed/>
    <w:rsid w:val="004E7355"/>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4E7355"/>
  </w:style>
  <w:style w:type="character" w:styleId="Emphasis">
    <w:name w:val="Emphasis"/>
    <w:basedOn w:val="DefaultParagraphFont"/>
    <w:uiPriority w:val="20"/>
    <w:qFormat/>
    <w:rsid w:val="00BD00F0"/>
    <w:rPr>
      <w:i/>
      <w:iCs/>
    </w:rPr>
  </w:style>
</w:styles>
</file>

<file path=word/webSettings.xml><?xml version="1.0" encoding="utf-8"?>
<w:webSettings xmlns:r="http://schemas.openxmlformats.org/officeDocument/2006/relationships" xmlns:w="http://schemas.openxmlformats.org/wordprocessingml/2006/main">
  <w:divs>
    <w:div w:id="23135487">
      <w:bodyDiv w:val="1"/>
      <w:marLeft w:val="0"/>
      <w:marRight w:val="0"/>
      <w:marTop w:val="0"/>
      <w:marBottom w:val="0"/>
      <w:divBdr>
        <w:top w:val="none" w:sz="0" w:space="0" w:color="auto"/>
        <w:left w:val="none" w:sz="0" w:space="0" w:color="auto"/>
        <w:bottom w:val="none" w:sz="0" w:space="0" w:color="auto"/>
        <w:right w:val="none" w:sz="0" w:space="0" w:color="auto"/>
      </w:divBdr>
    </w:div>
    <w:div w:id="747575664">
      <w:bodyDiv w:val="1"/>
      <w:marLeft w:val="0"/>
      <w:marRight w:val="0"/>
      <w:marTop w:val="0"/>
      <w:marBottom w:val="0"/>
      <w:divBdr>
        <w:top w:val="none" w:sz="0" w:space="0" w:color="auto"/>
        <w:left w:val="none" w:sz="0" w:space="0" w:color="auto"/>
        <w:bottom w:val="none" w:sz="0" w:space="0" w:color="auto"/>
        <w:right w:val="none" w:sz="0" w:space="0" w:color="auto"/>
      </w:divBdr>
      <w:divsChild>
        <w:div w:id="1943103099">
          <w:marLeft w:val="0"/>
          <w:marRight w:val="0"/>
          <w:marTop w:val="0"/>
          <w:marBottom w:val="0"/>
          <w:divBdr>
            <w:top w:val="none" w:sz="0" w:space="0" w:color="auto"/>
            <w:left w:val="none" w:sz="0" w:space="0" w:color="auto"/>
            <w:bottom w:val="none" w:sz="0" w:space="0" w:color="auto"/>
            <w:right w:val="none" w:sz="0" w:space="0" w:color="auto"/>
          </w:divBdr>
        </w:div>
      </w:divsChild>
    </w:div>
    <w:div w:id="766196588">
      <w:bodyDiv w:val="1"/>
      <w:marLeft w:val="0"/>
      <w:marRight w:val="0"/>
      <w:marTop w:val="0"/>
      <w:marBottom w:val="0"/>
      <w:divBdr>
        <w:top w:val="none" w:sz="0" w:space="0" w:color="auto"/>
        <w:left w:val="none" w:sz="0" w:space="0" w:color="auto"/>
        <w:bottom w:val="none" w:sz="0" w:space="0" w:color="auto"/>
        <w:right w:val="none" w:sz="0" w:space="0" w:color="auto"/>
      </w:divBdr>
      <w:divsChild>
        <w:div w:id="20358848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1802</Words>
  <Characters>10272</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Nehemiah</dc:creator>
  <cp:lastModifiedBy>kelvinjacks</cp:lastModifiedBy>
  <cp:revision>2</cp:revision>
  <dcterms:created xsi:type="dcterms:W3CDTF">2019-12-21T08:13:00Z</dcterms:created>
  <dcterms:modified xsi:type="dcterms:W3CDTF">2019-12-21T08:13:00Z</dcterms:modified>
</cp:coreProperties>
</file>